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428750" cy="571500"/>
                  <wp:effectExtent t="0" r="0" b="0" l="0"/>
                  <wp:docPr id="1" name="Logo" descr="Reemplace por el logo de su organización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22"/>
                <w:szCs w:val="22"/>
              </w:rPr>
              <w:t xml:space="preserve">[ORGANIZACION]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B7F90"/>
                <w:sz w:val="18"/>
                <w:szCs w:val="18"/>
              </w:rPr>
              <w:t xml:space="preserve">Clasificación: Uso interno</w:t>
            </w:r>
          </w:p>
        </w:tc>
      </w:tr>
    </w:tbl>
    <w:p>
      <w:pPr>
        <w:spacing w:after="120" w:before="1500"/>
      </w:pPr>
      <w:r>
        <w:rPr>
          <w:rFonts w:ascii="Calibri" w:cs="Calibri" w:eastAsia="Calibri" w:hAnsi="Calibri"/>
          <w:b/>
          <w:bCs/>
          <w:caps/>
          <w:spacing w:val="20"/>
          <w:sz w:val="20"/>
          <w:szCs w:val="20"/>
        </w:rPr>
        <w:t>Plantilla gratuita · NexoDocs</w:t>
      </w:r>
    </w:p>
    <w:p>
      <w:pPr>
        <w:spacing w:after="60"/>
      </w:pPr>
      <w:r>
        <w:rPr>
          <w:rFonts w:ascii="Calibri" w:cs="Calibri" w:eastAsia="Calibri" w:hAnsi="Calibri"/>
          <w:color w:val="6B7F90"/>
          <w:sz w:val="22"/>
          <w:szCs w:val="22"/>
        </w:rPr>
        <w:t>POL-IA-01</w:t>
      </w:r>
    </w:p>
    <w:p>
      <w:pPr>
        <w:spacing w:after="200" w:before="200" w:line="240" w:lineRule="auto"/>
      </w:pPr>
      <w:r>
        <w:rPr>
          <w:rFonts w:ascii="Calibri" w:cs="Calibri" w:eastAsia="Calibri" w:hAnsi="Calibri"/>
          <w:b/>
          <w:bCs/>
          <w:color w:val="152B45"/>
          <w:sz w:val="52"/>
          <w:szCs w:val="52"/>
        </w:rPr>
        <w:t>Política de Uso Aceptable de Herramientas de IA Generativa</w:t>
      </w:r>
    </w:p>
    <w:p>
      <w:pPr>
        <w:spacing w:after="240"/>
      </w:pPr>
      <w:r>
        <w:rPr>
          <w:rFonts w:ascii="Calibri" w:cs="Calibri" w:eastAsia="Calibri" w:hAnsi="Calibri"/>
          <w:bCs w:val="false"/>
          <w:color w:val="34485A"/>
          <w:sz w:val="23"/>
          <w:szCs w:val="23"/>
        </w:rPr>
        <w:t>Política específica para el personal · apoya el Anexo A de ISO/IEC 42001:2023: A.9.2, A.9.4 y A.7.3</w:t>
      </w:r>
    </w:p>
    <w:p>
      <w:r>
        <w:rPr>
          <w:i/>
          <w:sz w:val="18"/>
        </w:rPr>
        <w:t>Plantilla gratuita de NexoDocs. Puede adaptarla y usarla libremente en su organización; si la publica o la comparte, mencione la fuente (nexodocs.com). Es un punto de partida, no asesoría legal: ajústela a sus herramientas, a su política de clasificación y a las leyes que le aplican. Versión completa con política de IA, evaluación de impacto, inventario y 60 documentos más: Kit ISO/IEC 42001 en nexodocs.com.</w:t>
      </w:r>
    </w:p>
    <w:p>
      <w:pPr>
        <w:pBdr>
          <w:bottom w:val="single" w:color="247E91" w:sz="12" w:space="1"/>
        </w:pBdr>
        <w:spacing w:after="240"/>
      </w:pP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aps/>
          <w:color w:val="247E91"/>
          <w:sz w:val="19"/>
          <w:szCs w:val="19"/>
        </w:rPr>
        <w:t xml:space="preserve">Control del documento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5"/>
        <w:gridCol w:w="2803"/>
        <w:gridCol w:w="2015"/>
        <w:gridCol w:w="2805"/>
      </w:tblGrid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Código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0"/>
                <w:bCs w:val="false"/>
                <w:color w:val="34485A"/>
                <w:sz w:val="18"/>
                <w:szCs w:val="18"/>
              </w:rPr>
              <w:t>POL-IA-01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Versión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1.0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Estado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[Borrador / En revisión / Aprobado]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Clasificación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Uso interno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Fecha de emisión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 xml:space="preserve">[FECHA_EMISION]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Fecha de aprobación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[dd-mm-aaaa]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Periodicidad de revisión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8"/>
                <w:szCs w:val="18"/>
              </w:rPr>
              <w:t>[meses]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Próxima revisión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[dd-mm-aaaa]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Elaborado por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>[RESPONSABLE_IA]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Revisado por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[Nombre]</w:t>
            </w: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[Cargo]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Aprobado por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 xml:space="preserve">[APROBADOR]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Evidencia de aprobación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[Firma, acta o registro]</w:t>
            </w:r>
          </w:p>
        </w:tc>
      </w:tr>
    </w:tbl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aps/>
          <w:color w:val="247E91"/>
          <w:sz w:val="19"/>
          <w:szCs w:val="19"/>
        </w:rPr>
        <w:t xml:space="preserve">Historial de versiones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70"/>
        <w:gridCol w:w="1499"/>
        <w:gridCol w:w="4926"/>
        <w:gridCol w:w="2143"/>
      </w:tblGrid>
      <w:tr>
        <w:trPr>
          <w:tblHeader/>
        </w:trP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Versión</w:t>
            </w: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Fecha</w:t>
            </w: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Descripción del cambio</w:t>
            </w: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Autor</w:t>
            </w:r>
          </w:p>
        </w:tc>
      </w:tr>
      <w:t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1.0</w:t>
            </w: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[dd-mm-aaaa]</w:t>
            </w: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Emisión inicial</w:t>
            </w: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>[RESPONSABLE_IA]</w:t>
            </w:r>
          </w:p>
        </w:tc>
      </w:tr>
      <w:t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A400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Nota de implementación (eliminar antes de publicar)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Esta es la política que leerá la mayor parte del personal. Manténgala breve y concreta, liste por nombre las herramientas aprobadas y explique qué datos se pueden ingresar en cada una. Revísela con frecuencia: las herramientas y sus condiciones cambian rápido.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Alinéela con su política de clasificación de la información y su política de protección de datos personales.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Propósito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Permitir que el personal de 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  <w:t>[ORGANIZACION]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 aproveche las herramientas de IA generativa (asistentes de conversación, redacción, programación, imágenes y reuniones) protegiendo la información, a las personas y a la organización.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Alcance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Aplica a todo el personal y a los contratistas que usan herramientas de IA generativa para su trabajo, en equipos de la empresa o personales.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Herramientas aprobadas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47"/>
        <w:gridCol w:w="3276"/>
        <w:gridCol w:w="2315"/>
      </w:tblGrid>
      <w:tr>
        <w:trPr>
          <w:cantSplit/>
          <w:tblHeader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Herramienta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Uso aprobado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Clasificación máxima de los datos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[Asistente corporativo, licencia empresarial]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[Redacción, resúmenes, análisis]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[Confidencial]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[Asistente de programación]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[Sugerencias de código en repositorios aprobados]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[Uso interno]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[Herramientas públicas gratuitas]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[Preguntas generales sin datos de la empresa]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[Pública]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Reglas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Use para el trabajo solo las herramientas listadas arriba; solicite nuevas herramientas al [RESPONSABLE_IA].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No ingrese información por sobre la clasificación permitida para cada herramienta, y nunca ingrese contraseñas, claves ni datos personales de clientes en herramientas no aprobadas para ello.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Revise y verifique todo resultado antes de usarlo: la IA generativa puede inventar hechos, referencias y código que parece correcto.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Usted sigue siendo responsable del trabajo que entrega, incluido el contenido hecho con apoyo de IA.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Indique que el contenido fue generado con IA cuando lo exija la ley, el cliente o las reglas de 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  <w:t>[ORGANIZACION]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Respete la propiedad intelectual: no use la IA para reproducir contenido protegido y revise las licencias del código generado.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No use herramientas de IA para tomar decisiones sobre personas (contratación, evaluación, sanciones) salvo que el uso haya sido aprobado según la política de IA de la organización.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Reporte los resultados incorrectos, dañinos o inesperados y cualquier dato ingresado por error por el canal oficial de reporte.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Herramientas de reuniones y grabación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Las herramientas de IA que graban, transcriben o resumen reuniones solo se pueden usar con conocimiento de todos los participantes y de acuerdo con la política de protección de datos personales.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Responsabilidades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7229"/>
      </w:tblGrid>
      <w:tr>
        <w:trPr>
          <w:cantSplit/>
          <w:tblHeader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Rol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Responsabilidades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Todo el personal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Cumplir esta política y completar la capacitación de concientización en IA.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Jefaturas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Promover el uso responsable en sus equipos.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[RESPONSABLE_IA]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Mantener la lista de herramientas aprobadas y responder consultas.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TI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Configurar las herramientas empresariales y bloquear las no aprobadas cuando se requiera.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Seguimiento y registros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47"/>
        <w:gridCol w:w="3276"/>
        <w:gridCol w:w="2315"/>
      </w:tblGrid>
      <w:tr>
        <w:trPr>
          <w:cantSplit/>
          <w:tblHeader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Registro o evidencia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Dónde se conserva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Lista de herramientas aprobadas y su evaluación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Inventario de herramientas de IA aprobadas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[RESPONSABLE_IA]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Capacitaciones completadas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 de capacitación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Personas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Problemas reportados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 de incidentes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[RESPONSABLE_IA]</w:t>
            </w:r>
          </w:p>
        </w:tc>
      </w:tr>
    </w:tbl>
    <w:p>
      <w:pPr>
        <w:spacing w:after="20" w:line="120" w:lineRule="auto"/>
      </w:pP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Indicadores sugeridos: porcentaje del personal capacitado; número de herramientas no aprobadas detectadas.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Revisión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Esta política se revisa </w:t>
      </w:r>
      <w:r>
        <w:rPr>
          <w:rFonts w:ascii="Calibri" w:cs="Calibri" w:eastAsia="Calibri" w:hAnsi="Calibri"/>
          <w:bCs w:val="false"/>
          <w:color w:val="8A5A00"/>
          <w:sz w:val="21"/>
          <w:szCs w:val="21"/>
        </w:rPr>
        <w:t>[cada 6 meses]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 o cuando cambian las herramientas aprobadas o sus condiciones.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47E91" w:sz="24"/>
              <w:bottom w:val="none" w:color="FFFFFF" w:sz="0"/>
              <w:right w:val="none" w:color="FFFFFF" w:sz="0"/>
            </w:tcBorders>
            <w:shd w:fill="F3F6F8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Decisiones que su organización debe tomar antes de aprobar (eliminar antes de publicar)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Qué herramientas están aprobadas y para qué clasificación de datos.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Si se pueden usar equipos personales con herramientas de IA para el trabajo.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Cómo se detectarán o bloquearán las herramientas no aprobadas.</w:t>
            </w:r>
          </w:p>
        </w:tc>
      </w:tr>
    </w:tbl>
    <w:p>
      <w:pPr>
        <w:spacing w:after="20" w:line="120" w:lineRule="auto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47E91" w:sz="24"/>
              <w:bottom w:val="none" w:color="FFFFFF" w:sz="0"/>
              <w:right w:val="none" w:color="FFFFFF" w:sz="0"/>
            </w:tcBorders>
            <w:shd w:fill="F3F6F8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Qué suele revisar el auditor (eliminar antes de publicar)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Que exista la lista de herramientas aprobadas y coincida con lo que usa el personal.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Registros de capacitación.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La evaluación de las condiciones de uso de las herramientas aprobadas (conservación de datos y uso para entrenamiento).</w:t>
            </w:r>
          </w:p>
        </w:tc>
      </w:tr>
    </w:tbl>
    <w:p>
      <w:pPr>
        <w:pStyle w:val="Heading1"/>
        <w:keepNext/>
        <w:keepLines/>
      </w:pPr>
      <w:r>
        <w:rPr>
          <w:rFonts w:ascii="Calibri" w:cs="Calibri" w:eastAsia="Calibri" w:hAnsi="Calibri"/>
        </w:rPr>
        <w:t xml:space="preserve">Aprobación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Elaborado por</w:t>
            </w: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Revisado por</w:t>
            </w: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Aprobado por</w:t>
            </w:r>
          </w:p>
        </w:tc>
      </w:tr>
      <w:tr>
        <w:trPr>
          <w:cantSplit/>
          <w:trHeight w:val="760" w:hRule="atLeast"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Nombre: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Cargo: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Fecha:</w:t>
            </w: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Nombre: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Cargo: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Fecha:</w:t>
            </w: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Nombre: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Cargo: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Fecha:</w:t>
            </w:r>
          </w:p>
        </w:tc>
      </w:tr>
    </w:tbl>
    <w:p>
      <w:pPr>
        <w:spacing w:after="20" w:line="120" w:lineRule="auto"/>
      </w:pPr>
    </w:p>
    <w:sectPr>
      <w:headerReference w:type="default" r:id="rId7"/>
      <w:headerReference w:type="first" r:id="rId8"/>
      <w:footerReference w:type="default" r:id="rId9"/>
      <w:footerReference w:type="first" r:id="rId10"/>
      <w:headerReference w:type="even" r:id="rId13"/>
      <w:footerReference w:type="even" r:id="rId14"/>
      <w:pgSz w:w="11906" w:h="16838" w:orient="portrait"/>
      <w:pgMar w:top="1950" w:right="1134" w:bottom="1250" w:left="1134" w:header="500" w:footer="42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7EB" w:sz="6" w:space="4"/>
      </w:pBdr>
      <w:tabs>
        <w:tab w:val="right" w:pos="9638"/>
      </w:tabs>
    </w:pPr>
    <w:r>
      <w:rPr>
        <w:rFonts w:ascii="Calibri" w:cs="Calibri" w:eastAsia="Calibri" w:hAnsi="Calibri"/>
        <w:color w:val="6B7F90"/>
        <w:sz w:val="15"/>
        <w:szCs w:val="15"/>
      </w:rPr>
      <w:t>CLASIFICACIÓN: USO INTERNO   ·   POL-IA-01   ·   Versión 1.0</w:t>
      <w:tab/>
      <w:t xml:space="preserve">Página  de </w:t>
    </w:r>
    <w:r>
      <w:rPr>
        <w:rFonts w:ascii="Calibri" w:cs="Calibri" w:eastAsia="Calibri" w:hAnsi="Calibri"/>
        <w:b/>
        <w:bCs/>
        <w:color w:val="152B45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</w:p>
  <w:p>
    <w:r>
      <w:rPr>
        <w:rFonts w:ascii="Calibri" w:cs="Calibri" w:eastAsia="Calibri" w:hAnsi="Calibri"/>
        <w:i/>
        <w:iCs/>
        <w:color w:val="8A9BAA"/>
        <w:sz w:val="13"/>
        <w:szCs w:val="13"/>
      </w:rPr>
      <w:t>Plantilla gratuita de NexoDocs · nexodocs.com · Puede adaptarla y usarla en su organización.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7EB" w:sz="6" w:space="4"/>
      </w:pBdr>
      <w:tabs>
        <w:tab w:val="right" w:pos="9638"/>
      </w:tabs>
    </w:pPr>
    <w:r>
      <w:rPr>
        <w:rFonts w:ascii="Calibri" w:cs="Calibri" w:eastAsia="Calibri" w:hAnsi="Calibri"/>
        <w:color w:val="6B7F90"/>
        <w:sz w:val="15"/>
        <w:szCs w:val="15"/>
      </w:rPr>
      <w:t>CLASIFICACIÓN: USO INTERNO   ·   POL-IA-01   ·   Versión 1.0</w:t>
      <w:tab/>
      <w:t xml:space="preserve">Página  de </w:t>
    </w:r>
    <w:r>
      <w:rPr>
        <w:rFonts w:ascii="Calibri" w:cs="Calibri" w:eastAsia="Calibri" w:hAnsi="Calibri"/>
        <w:b/>
        <w:bCs/>
        <w:color w:val="152B45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</w:p>
  <w:p>
    <w:r>
      <w:rPr>
        <w:rFonts w:ascii="Calibri" w:cs="Calibri" w:eastAsia="Calibri" w:hAnsi="Calibri"/>
        <w:i/>
        <w:iCs/>
        <w:color w:val="8A9BAA"/>
        <w:sz w:val="13"/>
        <w:szCs w:val="13"/>
      </w:rPr>
      <w:t>Plantilla gratuita de NexoDocs · nexodocs.com · Puede adaptarla y usarla en su organización.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247E91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900"/>
      <w:gridCol w:w="5238"/>
      <w:gridCol w:w="2500"/>
    </w:tblGrid>
    <w:tr>
      <w:tc>
        <w:tcPr>
          <w:tcW w:type="dxa" w:w="1900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r>
            <w:drawing>
              <wp:inline distT="0" distB="0" distL="0" distR="0">
                <wp:extent cx="904875" cy="361950"/>
                <wp:effectExtent t="0" r="0" b="0" l="0"/>
                <wp:docPr id="1" name="Logo" descr="Reemplace por el logo de su organización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238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pPr>
            <w:spacing w:after="20"/>
            <w:jc w:val="center"/>
          </w:pPr>
          <w:r>
            <w:rPr>
              <w:rFonts w:ascii="Calibri" w:cs="Calibri" w:eastAsia="Calibri" w:hAnsi="Calibri"/>
              <w:b/>
              <w:bCs/>
              <w:color w:val="247E91"/>
              <w:sz w:val="15"/>
              <w:szCs w:val="15"/>
            </w:rPr>
            <w:t xml:space="preserve">[ORGANIZACION]</w:t>
          </w:r>
        </w:p>
        <w:p>
          <w:pPr>
            <w:jc w:val="center"/>
          </w:pPr>
          <w:r>
            <w:rPr>
              <w:rFonts w:ascii="Calibri" w:cs="Calibri" w:eastAsia="Calibri" w:hAnsi="Calibri"/>
              <w:b/>
              <w:bCs/>
              <w:color w:val="152B45"/>
              <w:sz w:val="18"/>
              <w:szCs w:val="18"/>
            </w:rPr>
            <w:t>Política de Uso Aceptable de Herramientas de IA Generativa</w:t>
          </w:r>
        </w:p>
      </w:tc>
      <w:tc>
        <w:tcPr>
          <w:tcW w:type="dxa" w:w="2500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>Código: POL-IA-01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</w:r>
        </w:p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 xml:space="preserve">Versión: 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  <w:t xml:space="preserve">1.0</w:t>
          </w:r>
        </w:p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 xml:space="preserve">Clasificación: 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  <w:t xml:space="preserve">Uso interno</w:t>
          </w:r>
        </w:p>
      </w:tc>
    </w:tr>
  </w:tbl>
  <w:p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  <w:rPr>
        <w:color w:val="247E91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20"/>
      </w:pPr>
      <w:rPr>
        <w:b/>
        <w:bCs/>
        <w:color w:val="247E9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567"/>
      </w:pPr>
    </w:lvl>
    <w:lvl w:ilvl="1" w15:tentative="1">
      <w:start w:val="1"/>
      <w:numFmt w:val="decimal"/>
      <w:lvlText w:val="%1.%2."/>
      <w:lvlJc w:val="left"/>
      <w:pPr>
        <w:ind w:left="709" w:hanging="709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4485A"/>
        <w:sz w:val="21"/>
        <w:szCs w:val="21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60"/>
      <w:outlineLvl w:val="0"/>
    </w:pPr>
    <w:rPr>
      <w:rFonts w:ascii="Calibri" w:cs="Calibri" w:eastAsia="Calibri" w:hAnsi="Calibri"/>
      <w:b/>
      <w:bCs/>
      <w:color w:val="152B4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247E91"/>
      <w:sz w:val="25"/>
      <w:szCs w:val="25"/>
    </w:rPr>
  </w:style>
  <w:style w:type="paragraph" w:styleId="TOC1">
    <w:name w:val="toc 1"/>
    <w:basedOn w:val="Normal"/>
    <w:next w:val="Normal"/>
    <w:pPr>
      <w:spacing w:after="40" w:before="120"/>
    </w:pPr>
    <w:rPr>
      <w:rFonts w:ascii="Calibri" w:cs="Calibri" w:eastAsia="Calibri" w:hAnsi="Calibri"/>
      <w:b/>
      <w:bCs/>
      <w:color w:val="152B45"/>
      <w:sz w:val="21"/>
      <w:szCs w:val="21"/>
    </w:rPr>
  </w:style>
  <w:style w:type="paragraph" w:styleId="TOC2">
    <w:name w:val="toc 2"/>
    <w:basedOn w:val="Normal"/>
    <w:next w:val="Normal"/>
    <w:pPr>
      <w:spacing w:after="30" w:before="0"/>
      <w:ind w:left="360"/>
    </w:pPr>
    <w:rPr>
      <w:rFonts w:ascii="Calibri" w:cs="Calibri" w:eastAsia="Calibri" w:hAnsi="Calibri"/>
      <w:color w:val="34485A"/>
      <w:sz w:val="19"/>
      <w:szCs w:val="19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31e066f6892a9068f0b9a5419d4e8e32f8b8082.png"/><Relationship Id="rId12" Type="http://schemas.openxmlformats.org/officeDocument/2006/relationships/fontTable" Target="fontTable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31e066f6892a9068f0b9a5419d4e8e32f8b808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SGIA-POL-10 Política de Uso Aceptable de Herramientas de IA Generativa</dc:title>
  <dc:subject>Sistema de Gestión de Inteligencia Artificial</dc:subject>
  <dc:creator>NexoDocs</dc:creator>
  <cp:keywords>ISO/IEC 42001</cp:keywords>
  <dc:description/>
  <cp:lastModifiedBy>Kit Profesional de Documentación SGSI</cp:lastModifiedBy>
  <cp:revision>1</cp:revision>
  <dcterms:created xsi:type="dcterms:W3CDTF">2026-10-16T00:11:48.339Z</dcterms:created>
  <dcterms:modified xsi:type="dcterms:W3CDTF">2026-10-16T00:11:48.339Z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